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Somalia Price Index: Stakeholder Engagement Note</w:t>
      </w:r>
    </w:p>
    <w:p>
      <w:pPr>
        <w:jc w:val="center"/>
      </w:pPr>
      <w:r>
        <w:rPr>
          <w:color w:val="64748B"/>
          <w:sz w:val="22"/>
        </w:rPr>
        <w:t>Verified market intelligence for Somalia’s citizens, vendors, institutions, and private sector.</w:t>
      </w:r>
    </w:p>
    <w:p>
      <w:pPr>
        <w:pStyle w:val="Heading1"/>
      </w:pPr>
      <w:r>
        <w:t>Executive summary</w:t>
      </w:r>
    </w:p>
    <w:p>
      <w:r>
        <w:t>Somalia Price Index (SPI) is a SaaS-style market intelligence platform that collects, verifies, and publishes retail and wholesale price evidence across Somali markets. The platform is designed to help public institutions, vendors, households, NGOs, researchers, and businesses make better price, procurement, and planning decisions.</w:t>
      </w:r>
    </w:p>
    <w:p>
      <w:pPr>
        <w:pStyle w:val="Heading1"/>
      </w:pPr>
      <w:r>
        <w:t>Background and problem statement</w:t>
      </w:r>
    </w:p>
    <w:p>
      <w:r>
        <w:t>Price information in Somalia is often fragmented across informal vendor channels, district-level markets, and rapidly changing supply corridors. SPI addresses this by creating a verification-first workflow where submitted prices become public only after review.</w:t>
      </w:r>
    </w:p>
    <w:p>
      <w:pPr>
        <w:pStyle w:val="Heading1"/>
      </w:pPr>
      <w:r>
        <w:t>Platform objectives</w:t>
      </w:r>
    </w:p>
    <w:p>
      <w:pPr>
        <w:pStyle w:val="ListBullet"/>
      </w:pPr>
      <w:r>
        <w:t>Improve public access to verified price information.</w:t>
      </w:r>
    </w:p>
    <w:p>
      <w:pPr>
        <w:pStyle w:val="ListBullet"/>
      </w:pPr>
      <w:r>
        <w:t>Support vendor visibility while protecting data quality.</w:t>
      </w:r>
    </w:p>
    <w:p>
      <w:pPr>
        <w:pStyle w:val="ListBullet"/>
      </w:pPr>
      <w:r>
        <w:t>Enable government and institutional market monitoring.</w:t>
      </w:r>
    </w:p>
    <w:p>
      <w:pPr>
        <w:pStyle w:val="ListBullet"/>
      </w:pPr>
      <w:r>
        <w:t>Provide bilingual English/Somali item naming and search.</w:t>
      </w:r>
    </w:p>
    <w:p>
      <w:pPr>
        <w:pStyle w:val="ListBullet"/>
      </w:pPr>
      <w:r>
        <w:t>Create a structured verification trail for price evidence.</w:t>
      </w:r>
    </w:p>
    <w:p>
      <w:pPr>
        <w:pStyle w:val="Heading1"/>
      </w:pPr>
      <w:r>
        <w:t>Stakeholder benefits</w:t>
      </w:r>
    </w:p>
    <w:tbl>
      <w:tblPr>
        <w:tblStyle w:val="TableGrid"/>
        <w:tblW w:type="auto" w:w="0"/>
        <w:tblLook w:firstColumn="1" w:firstRow="1" w:lastColumn="0" w:lastRow="0" w:noHBand="0" w:noVBand="1" w:val="04A0"/>
      </w:tblPr>
      <w:tblGrid>
        <w:gridCol w:w="5040"/>
        <w:gridCol w:w="5040"/>
      </w:tblGrid>
      <w:tr>
        <w:tc>
          <w:tcPr>
            <w:tcW w:type="dxa" w:w="5040"/>
          </w:tcPr>
          <w:p>
            <w:r>
              <w:t>Stakeholder</w:t>
            </w:r>
          </w:p>
        </w:tc>
        <w:tc>
          <w:tcPr>
            <w:tcW w:type="dxa" w:w="5040"/>
          </w:tcPr>
          <w:p>
            <w:r>
              <w:t>Primary value</w:t>
            </w:r>
          </w:p>
        </w:tc>
      </w:tr>
      <w:tr>
        <w:tc>
          <w:tcPr>
            <w:tcW w:type="dxa" w:w="5040"/>
          </w:tcPr>
          <w:p>
            <w:r>
              <w:t>Government institutions</w:t>
            </w:r>
          </w:p>
        </w:tc>
        <w:tc>
          <w:tcPr>
            <w:tcW w:type="dxa" w:w="5040"/>
          </w:tcPr>
          <w:p>
            <w:r>
              <w:t>Price trend monitoring, planning evidence, market transparency, and district coverage visibility.</w:t>
            </w:r>
          </w:p>
        </w:tc>
      </w:tr>
      <w:tr>
        <w:tc>
          <w:tcPr>
            <w:tcW w:type="dxa" w:w="5040"/>
          </w:tcPr>
          <w:p>
            <w:r>
              <w:t>Vendors and wholesalers</w:t>
            </w:r>
          </w:p>
        </w:tc>
        <w:tc>
          <w:tcPr>
            <w:tcW w:type="dxa" w:w="5040"/>
          </w:tcPr>
          <w:p>
            <w:r>
              <w:t>Trusted listings, direct buyer contact, discount promotion, and market presence.</w:t>
            </w:r>
          </w:p>
        </w:tc>
      </w:tr>
      <w:tr>
        <w:tc>
          <w:tcPr>
            <w:tcW w:type="dxa" w:w="5040"/>
          </w:tcPr>
          <w:p>
            <w:r>
              <w:t>Households</w:t>
            </w:r>
          </w:p>
        </w:tc>
        <w:tc>
          <w:tcPr>
            <w:tcW w:type="dxa" w:w="5040"/>
          </w:tcPr>
          <w:p>
            <w:r>
              <w:t>Search and compare prices before buying essentials.</w:t>
            </w:r>
          </w:p>
        </w:tc>
      </w:tr>
      <w:tr>
        <w:tc>
          <w:tcPr>
            <w:tcW w:type="dxa" w:w="5040"/>
          </w:tcPr>
          <w:p>
            <w:r>
              <w:t>NGOs and UN agencies</w:t>
            </w:r>
          </w:p>
        </w:tc>
        <w:tc>
          <w:tcPr>
            <w:tcW w:type="dxa" w:w="5040"/>
          </w:tcPr>
          <w:p>
            <w:r>
              <w:t>Current commodity evidence for assessments, cash programs, procurement, and food security monitoring.</w:t>
            </w:r>
          </w:p>
        </w:tc>
      </w:tr>
      <w:tr>
        <w:tc>
          <w:tcPr>
            <w:tcW w:type="dxa" w:w="5040"/>
          </w:tcPr>
          <w:p>
            <w:r>
              <w:t>Researchers and private sector</w:t>
            </w:r>
          </w:p>
        </w:tc>
        <w:tc>
          <w:tcPr>
            <w:tcW w:type="dxa" w:w="5040"/>
          </w:tcPr>
          <w:p>
            <w:r>
              <w:t>Structured price intelligence for analysis, forecasting, and market studies.</w:t>
            </w:r>
          </w:p>
        </w:tc>
      </w:tr>
    </w:tbl>
    <w:p>
      <w:pPr>
        <w:pStyle w:val="Heading1"/>
      </w:pPr>
      <w:r>
        <w:t>Implementation approach</w:t>
      </w:r>
    </w:p>
    <w:p>
      <w:pPr>
        <w:pStyle w:val="ListBullet"/>
      </w:pPr>
      <w:r>
        <w:t>Vendor self-submission of prices, discounts, ads, and business details.</w:t>
      </w:r>
    </w:p>
    <w:p>
      <w:pPr>
        <w:pStyle w:val="ListBullet"/>
      </w:pPr>
      <w:r>
        <w:t>Pending Review workflow before publication.</w:t>
      </w:r>
    </w:p>
    <w:p>
      <w:pPr>
        <w:pStyle w:val="ListBullet"/>
      </w:pPr>
      <w:r>
        <w:t>Admin approval, rejection, correction, and expiry actions.</w:t>
      </w:r>
    </w:p>
    <w:p>
      <w:pPr>
        <w:pStyle w:val="ListBullet"/>
      </w:pPr>
      <w:r>
        <w:t>Manager oversight for coverage, quality, and platform activity.</w:t>
      </w:r>
    </w:p>
    <w:p>
      <w:pPr>
        <w:pStyle w:val="ListBullet"/>
      </w:pPr>
      <w:r>
        <w:t>Audit logging for important verification actions.</w:t>
      </w:r>
    </w:p>
    <w:p>
      <w:pPr>
        <w:pStyle w:val="Heading1"/>
      </w:pPr>
      <w:r>
        <w:t>Data quality and verification process</w:t>
      </w:r>
    </w:p>
    <w:p>
      <w:r>
        <w:t>SPI uses a verified hybrid model. Vendor and market monitor submissions enter review first. Automated quality flags highlight duplicate risk, missing fields, unusual price movement, and invalid values. These checks support admin review but do not auto-publish records.</w:t>
      </w:r>
    </w:p>
    <w:p>
      <w:pPr>
        <w:pStyle w:val="Heading1"/>
      </w:pPr>
      <w:r>
        <w:t>Suggested partnership opportunities</w:t>
      </w:r>
    </w:p>
    <w:p>
      <w:pPr>
        <w:pStyle w:val="ListBullet"/>
      </w:pPr>
      <w:r>
        <w:t>District market coverage partnerships.</w:t>
      </w:r>
    </w:p>
    <w:p>
      <w:pPr>
        <w:pStyle w:val="ListBullet"/>
      </w:pPr>
      <w:r>
        <w:t>Commodity basket monitoring and reporting.</w:t>
      </w:r>
    </w:p>
    <w:p>
      <w:pPr>
        <w:pStyle w:val="ListBullet"/>
      </w:pPr>
      <w:r>
        <w:t>Vendor onboarding and data quality training.</w:t>
      </w:r>
    </w:p>
    <w:p>
      <w:pPr>
        <w:pStyle w:val="ListBullet"/>
      </w:pPr>
      <w:r>
        <w:t>API/reporting access for authorized institutions.</w:t>
      </w:r>
    </w:p>
    <w:p>
      <w:pPr>
        <w:pStyle w:val="ListBullet"/>
      </w:pPr>
      <w:r>
        <w:t>Pilot programs with ministries, municipalities, chambers of commerce, and market associations.</w:t>
      </w:r>
    </w:p>
    <w:p>
      <w:pPr>
        <w:pStyle w:val="Heading1"/>
      </w:pPr>
      <w:r>
        <w:t>Next steps</w:t>
      </w:r>
    </w:p>
    <w:p>
      <w:r>
        <w:t>Confirm priority districts, define stakeholder reporting needs, identify pilot vendors and market monitors, and agree on a verification governance process for national rollout.</w:t>
      </w:r>
    </w:p>
    <w:sectPr w:rsidR="00FC693F" w:rsidRPr="0006063C" w:rsidSect="00034616">
      <w:pgSz w:w="12240" w:h="15840"/>
      <w:pgMar w:top="936" w:right="1080" w:bottom="936"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rial" w:hAnsi="Arial"/>
      <w:b/>
      <w:color w:val="0B1F3A"/>
      <w:spacing w:val="5"/>
      <w:kern w:val="28"/>
      <w:sz w:val="48"/>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